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08F1" w14:textId="77777777" w:rsidR="009A4655" w:rsidRDefault="009A4655">
      <w:r>
        <w:rPr>
          <w:noProof/>
        </w:rPr>
        <w:drawing>
          <wp:inline distT="0" distB="0" distL="0" distR="0" wp14:anchorId="1EFB979A" wp14:editId="34F3B4C8">
            <wp:extent cx="5943600" cy="833165"/>
            <wp:effectExtent l="0" t="0" r="0" b="5080"/>
            <wp:docPr id="2" name="Picture 2" descr="Macintosh HD:Users:MRossi:Mike's Files:PennEngineering:Letterhead:Corporate Danbo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Rossi:Mike's Files:PennEngineering:Letterhead:Corporate Danbor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33165"/>
                    </a:xfrm>
                    <a:prstGeom prst="rect">
                      <a:avLst/>
                    </a:prstGeom>
                    <a:noFill/>
                    <a:ln>
                      <a:noFill/>
                    </a:ln>
                  </pic:spPr>
                </pic:pic>
              </a:graphicData>
            </a:graphic>
          </wp:inline>
        </w:drawing>
      </w:r>
    </w:p>
    <w:p w14:paraId="325D0588" w14:textId="49C05909" w:rsidR="009A4655" w:rsidRDefault="00F77758">
      <w:r>
        <w:t>4</w:t>
      </w:r>
      <w:r w:rsidR="00CE6A8F">
        <w:t>/202</w:t>
      </w:r>
      <w:r>
        <w:t>5</w:t>
      </w:r>
    </w:p>
    <w:p w14:paraId="534950BC" w14:textId="5CE23C32" w:rsidR="007D6A80" w:rsidRDefault="00CF1EB7" w:rsidP="001244C7">
      <w:pPr>
        <w:spacing w:after="0" w:line="240" w:lineRule="auto"/>
      </w:pPr>
      <w:r w:rsidRPr="009157A3">
        <w:rPr>
          <w:b/>
          <w:bCs/>
        </w:rPr>
        <w:t>RE</w:t>
      </w:r>
      <w:proofErr w:type="gramStart"/>
      <w:r w:rsidRPr="009157A3">
        <w:rPr>
          <w:b/>
          <w:bCs/>
        </w:rPr>
        <w:t>:</w:t>
      </w:r>
      <w:r w:rsidR="009A4655">
        <w:t xml:space="preserve"> </w:t>
      </w:r>
      <w:r w:rsidR="00A2251C">
        <w:t xml:space="preserve"> </w:t>
      </w:r>
      <w:r w:rsidR="00380C9D">
        <w:t>REACH</w:t>
      </w:r>
      <w:proofErr w:type="gramEnd"/>
      <w:r w:rsidR="00380C9D">
        <w:t xml:space="preserve"> 2</w:t>
      </w:r>
      <w:r w:rsidR="00FA415B">
        <w:t>4</w:t>
      </w:r>
      <w:r w:rsidR="00F77758">
        <w:t>7</w:t>
      </w:r>
      <w:r w:rsidR="00380C9D">
        <w:t xml:space="preserve"> SVHC Declaration</w:t>
      </w:r>
      <w:r w:rsidR="009157A3">
        <w:t>.</w:t>
      </w:r>
    </w:p>
    <w:tbl>
      <w:tblPr>
        <w:tblW w:w="5400" w:type="dxa"/>
        <w:tblLook w:val="04A0" w:firstRow="1" w:lastRow="0" w:firstColumn="1" w:lastColumn="0" w:noHBand="0" w:noVBand="1"/>
      </w:tblPr>
      <w:tblGrid>
        <w:gridCol w:w="9271"/>
      </w:tblGrid>
      <w:tr w:rsidR="009157A3" w:rsidRPr="009157A3" w14:paraId="5E2A1F54" w14:textId="77777777" w:rsidTr="00380C9D">
        <w:trPr>
          <w:trHeight w:val="288"/>
        </w:trPr>
        <w:tc>
          <w:tcPr>
            <w:tcW w:w="5400" w:type="dxa"/>
            <w:tcBorders>
              <w:top w:val="nil"/>
              <w:left w:val="nil"/>
              <w:bottom w:val="nil"/>
              <w:right w:val="nil"/>
            </w:tcBorders>
            <w:shd w:val="clear" w:color="auto" w:fill="auto"/>
            <w:noWrap/>
            <w:vAlign w:val="bottom"/>
          </w:tcPr>
          <w:p w14:paraId="4FE96FA2" w14:textId="40C9B798" w:rsidR="00380C9D" w:rsidRPr="00380C9D" w:rsidRDefault="00380C9D" w:rsidP="00380C9D">
            <w:pPr>
              <w:pStyle w:val="NormalWeb"/>
              <w:shd w:val="clear" w:color="auto" w:fill="FFFFFF"/>
              <w:spacing w:before="200" w:beforeAutospacing="0" w:after="200" w:afterAutospacing="0"/>
              <w:jc w:val="center"/>
              <w:rPr>
                <w:rFonts w:ascii="Arial" w:hAnsi="Arial" w:cs="Arial"/>
                <w:color w:val="333333"/>
                <w:sz w:val="22"/>
                <w:szCs w:val="22"/>
              </w:rPr>
            </w:pPr>
            <w:r w:rsidRPr="00380C9D">
              <w:rPr>
                <w:rFonts w:ascii="Arial" w:hAnsi="Arial" w:cs="Arial"/>
                <w:b/>
                <w:bCs/>
                <w:color w:val="333333"/>
                <w:sz w:val="22"/>
                <w:szCs w:val="22"/>
              </w:rPr>
              <w:t>REACH</w:t>
            </w:r>
            <w:r w:rsidRPr="00380C9D">
              <w:rPr>
                <w:rFonts w:ascii="Arial" w:hAnsi="Arial" w:cs="Arial"/>
                <w:color w:val="333333"/>
                <w:sz w:val="22"/>
                <w:szCs w:val="22"/>
              </w:rPr>
              <w:br/>
            </w:r>
            <w:r w:rsidR="00F77758">
              <w:rPr>
                <w:rFonts w:ascii="Arial" w:hAnsi="Arial" w:cs="Arial"/>
                <w:color w:val="333333"/>
                <w:sz w:val="22"/>
                <w:szCs w:val="22"/>
              </w:rPr>
              <w:t>April 2025</w:t>
            </w:r>
          </w:p>
          <w:p w14:paraId="496C7CC2" w14:textId="77777777"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REACH is a European Community Regulation on chemicals and their safe use </w:t>
            </w:r>
            <w:hyperlink r:id="rId8" w:tgtFrame="_blank" w:tooltip="http://eur-lex.europa.eu/LexUriServ/LexUriServ.do?uri=CELEX:32006R1907:EN:NOT" w:history="1">
              <w:r w:rsidRPr="00380C9D">
                <w:rPr>
                  <w:rStyle w:val="Hyperlink"/>
                  <w:rFonts w:ascii="Arial" w:hAnsi="Arial" w:cs="Arial"/>
                  <w:b/>
                  <w:bCs/>
                  <w:color w:val="245FCC"/>
                  <w:sz w:val="22"/>
                  <w:szCs w:val="22"/>
                </w:rPr>
                <w:t>(EC 1907/2006)</w:t>
              </w:r>
            </w:hyperlink>
            <w:r w:rsidRPr="00380C9D">
              <w:rPr>
                <w:rFonts w:ascii="Arial" w:hAnsi="Arial" w:cs="Arial"/>
                <w:color w:val="333333"/>
                <w:sz w:val="22"/>
                <w:szCs w:val="22"/>
              </w:rPr>
              <w:t>. It deals with the </w:t>
            </w:r>
            <w:r w:rsidRPr="00380C9D">
              <w:rPr>
                <w:rStyle w:val="Strong"/>
                <w:rFonts w:ascii="Arial" w:hAnsi="Arial" w:cs="Arial"/>
                <w:color w:val="333333"/>
                <w:sz w:val="22"/>
                <w:szCs w:val="22"/>
              </w:rPr>
              <w:t>R</w:t>
            </w:r>
            <w:r w:rsidRPr="00380C9D">
              <w:rPr>
                <w:rFonts w:ascii="Arial" w:hAnsi="Arial" w:cs="Arial"/>
                <w:color w:val="333333"/>
                <w:sz w:val="22"/>
                <w:szCs w:val="22"/>
              </w:rPr>
              <w:t>egistration, </w:t>
            </w:r>
            <w:r w:rsidRPr="00380C9D">
              <w:rPr>
                <w:rStyle w:val="Strong"/>
                <w:rFonts w:ascii="Arial" w:hAnsi="Arial" w:cs="Arial"/>
                <w:color w:val="333333"/>
                <w:sz w:val="22"/>
                <w:szCs w:val="22"/>
              </w:rPr>
              <w:t>E</w:t>
            </w:r>
            <w:r w:rsidRPr="00380C9D">
              <w:rPr>
                <w:rFonts w:ascii="Arial" w:hAnsi="Arial" w:cs="Arial"/>
                <w:color w:val="333333"/>
                <w:sz w:val="22"/>
                <w:szCs w:val="22"/>
              </w:rPr>
              <w:t>valuation, </w:t>
            </w:r>
            <w:proofErr w:type="spellStart"/>
            <w:r w:rsidRPr="00380C9D">
              <w:rPr>
                <w:rStyle w:val="Strong"/>
                <w:rFonts w:ascii="Arial" w:hAnsi="Arial" w:cs="Arial"/>
                <w:color w:val="333333"/>
                <w:sz w:val="22"/>
                <w:szCs w:val="22"/>
              </w:rPr>
              <w:t>A</w:t>
            </w:r>
            <w:r w:rsidRPr="00380C9D">
              <w:rPr>
                <w:rFonts w:ascii="Arial" w:hAnsi="Arial" w:cs="Arial"/>
                <w:color w:val="333333"/>
                <w:sz w:val="22"/>
                <w:szCs w:val="22"/>
              </w:rPr>
              <w:t>uthorisation</w:t>
            </w:r>
            <w:proofErr w:type="spellEnd"/>
            <w:r w:rsidRPr="00380C9D">
              <w:rPr>
                <w:rFonts w:ascii="Arial" w:hAnsi="Arial" w:cs="Arial"/>
                <w:color w:val="333333"/>
                <w:sz w:val="22"/>
                <w:szCs w:val="22"/>
              </w:rPr>
              <w:t xml:space="preserve"> and Restriction of </w:t>
            </w:r>
            <w:r w:rsidRPr="00380C9D">
              <w:rPr>
                <w:rStyle w:val="Strong"/>
                <w:rFonts w:ascii="Arial" w:hAnsi="Arial" w:cs="Arial"/>
                <w:color w:val="333333"/>
                <w:sz w:val="22"/>
                <w:szCs w:val="22"/>
              </w:rPr>
              <w:t>Ch</w:t>
            </w:r>
            <w:r w:rsidRPr="00380C9D">
              <w:rPr>
                <w:rFonts w:ascii="Arial" w:hAnsi="Arial" w:cs="Arial"/>
                <w:color w:val="333333"/>
                <w:sz w:val="22"/>
                <w:szCs w:val="22"/>
              </w:rPr>
              <w:t>emical substances. The law entered into force on 1 June 2007.  The goal of REACH is to improve the protection of human health and the environment through the better and earlier identification of the intrinsic properties of chemical substances.</w:t>
            </w:r>
          </w:p>
          <w:p w14:paraId="61FAEF53" w14:textId="161FC914"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Currently the European Chemicals Agency identifies 2</w:t>
            </w:r>
            <w:r w:rsidR="00F9503D">
              <w:rPr>
                <w:rFonts w:ascii="Arial" w:hAnsi="Arial" w:cs="Arial"/>
                <w:color w:val="333333"/>
                <w:sz w:val="22"/>
                <w:szCs w:val="22"/>
              </w:rPr>
              <w:t>4</w:t>
            </w:r>
            <w:r w:rsidR="00F77758">
              <w:rPr>
                <w:rFonts w:ascii="Arial" w:hAnsi="Arial" w:cs="Arial"/>
                <w:color w:val="333333"/>
                <w:sz w:val="22"/>
                <w:szCs w:val="22"/>
              </w:rPr>
              <w:t>7</w:t>
            </w:r>
            <w:r w:rsidRPr="00380C9D">
              <w:rPr>
                <w:rFonts w:ascii="Arial" w:hAnsi="Arial" w:cs="Arial"/>
                <w:color w:val="333333"/>
                <w:sz w:val="22"/>
                <w:szCs w:val="22"/>
              </w:rPr>
              <w:t xml:space="preserve"> SVHC’s (Substance of Very High Concern) as potentially harmful.  In accordance with Article 33 in the REACH regulation, it is our duty to disclose the presence of SVHC’s </w:t>
            </w:r>
            <w:proofErr w:type="gramStart"/>
            <w:r w:rsidRPr="00380C9D">
              <w:rPr>
                <w:rFonts w:ascii="Arial" w:hAnsi="Arial" w:cs="Arial"/>
                <w:color w:val="333333"/>
                <w:sz w:val="22"/>
                <w:szCs w:val="22"/>
              </w:rPr>
              <w:t>in excess of</w:t>
            </w:r>
            <w:proofErr w:type="gramEnd"/>
            <w:r w:rsidRPr="00380C9D">
              <w:rPr>
                <w:rFonts w:ascii="Arial" w:hAnsi="Arial" w:cs="Arial"/>
                <w:color w:val="333333"/>
                <w:sz w:val="22"/>
                <w:szCs w:val="22"/>
              </w:rPr>
              <w:t xml:space="preserve"> 0.1% of article weight. That is the purpose of this statement. As noted, our products; unless called out below, are compliant to REACH Annex (XIV) and REACH Annex (XVII). </w:t>
            </w:r>
          </w:p>
          <w:p w14:paraId="72BC1C9D" w14:textId="13940F53" w:rsid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Upon reviewing the latest addition to REACH’s 2</w:t>
            </w:r>
            <w:r w:rsidR="00CE6A8F">
              <w:rPr>
                <w:rFonts w:ascii="Arial" w:hAnsi="Arial" w:cs="Arial"/>
                <w:color w:val="333333"/>
                <w:sz w:val="22"/>
                <w:szCs w:val="22"/>
              </w:rPr>
              <w:t>4</w:t>
            </w:r>
            <w:r w:rsidR="00F77758">
              <w:rPr>
                <w:rFonts w:ascii="Arial" w:hAnsi="Arial" w:cs="Arial"/>
                <w:color w:val="333333"/>
                <w:sz w:val="22"/>
                <w:szCs w:val="22"/>
              </w:rPr>
              <w:t>7</w:t>
            </w:r>
            <w:r w:rsidRPr="00380C9D">
              <w:rPr>
                <w:rFonts w:ascii="Arial" w:hAnsi="Arial" w:cs="Arial"/>
                <w:color w:val="333333"/>
                <w:sz w:val="22"/>
                <w:szCs w:val="22"/>
              </w:rPr>
              <w:t xml:space="preserve"> SVHC list with our suppliers we find no added concerns to our products </w:t>
            </w:r>
            <w:proofErr w:type="gramStart"/>
            <w:r w:rsidRPr="00380C9D">
              <w:rPr>
                <w:rFonts w:ascii="Arial" w:hAnsi="Arial" w:cs="Arial"/>
                <w:color w:val="333333"/>
                <w:sz w:val="22"/>
                <w:szCs w:val="22"/>
              </w:rPr>
              <w:t>at this time</w:t>
            </w:r>
            <w:proofErr w:type="gramEnd"/>
            <w:r w:rsidRPr="00380C9D">
              <w:rPr>
                <w:rFonts w:ascii="Arial" w:hAnsi="Arial" w:cs="Arial"/>
                <w:color w:val="333333"/>
                <w:sz w:val="22"/>
                <w:szCs w:val="22"/>
              </w:rPr>
              <w:t>.</w:t>
            </w:r>
            <w:r w:rsidR="003639C1">
              <w:rPr>
                <w:rFonts w:ascii="Arial" w:hAnsi="Arial" w:cs="Arial"/>
                <w:color w:val="333333"/>
                <w:sz w:val="22"/>
                <w:szCs w:val="22"/>
              </w:rPr>
              <w:t xml:space="preserve"> </w:t>
            </w:r>
            <w:r w:rsidR="006D6244">
              <w:rPr>
                <w:rFonts w:ascii="Arial" w:hAnsi="Arial" w:cs="Arial"/>
                <w:color w:val="333333"/>
                <w:sz w:val="22"/>
                <w:szCs w:val="22"/>
              </w:rPr>
              <w:t>This includes our HEYCO plastics products</w:t>
            </w:r>
            <w:r w:rsidR="003639C1">
              <w:rPr>
                <w:rFonts w:ascii="Arial" w:hAnsi="Arial" w:cs="Arial"/>
                <w:color w:val="333333"/>
                <w:sz w:val="22"/>
                <w:szCs w:val="22"/>
              </w:rPr>
              <w:t>.</w:t>
            </w:r>
            <w:r w:rsidR="008406AA">
              <w:rPr>
                <w:rFonts w:ascii="Arial" w:hAnsi="Arial" w:cs="Arial"/>
                <w:color w:val="333333"/>
                <w:sz w:val="22"/>
                <w:szCs w:val="22"/>
              </w:rPr>
              <w:t xml:space="preserve"> </w:t>
            </w:r>
          </w:p>
          <w:p w14:paraId="026F96E7" w14:textId="0BDF1900" w:rsidR="008406AA" w:rsidRDefault="008406AA" w:rsidP="00380C9D">
            <w:pPr>
              <w:pStyle w:val="NormalWeb"/>
              <w:shd w:val="clear" w:color="auto" w:fill="FFFFFF"/>
              <w:spacing w:before="200" w:beforeAutospacing="0" w:after="200" w:afterAutospacing="0"/>
              <w:rPr>
                <w:rFonts w:ascii="Arial" w:hAnsi="Arial" w:cs="Arial"/>
                <w:color w:val="333333"/>
                <w:sz w:val="22"/>
                <w:szCs w:val="22"/>
              </w:rPr>
            </w:pPr>
            <w:r w:rsidRPr="008406AA">
              <w:rPr>
                <w:rFonts w:ascii="Arial" w:hAnsi="Arial" w:cs="Arial"/>
                <w:b/>
                <w:bCs/>
                <w:color w:val="333333"/>
                <w:sz w:val="22"/>
                <w:szCs w:val="22"/>
              </w:rPr>
              <w:t>Please NOTE</w:t>
            </w:r>
            <w:r>
              <w:rPr>
                <w:rFonts w:ascii="Arial" w:hAnsi="Arial" w:cs="Arial"/>
                <w:color w:val="333333"/>
                <w:sz w:val="22"/>
                <w:szCs w:val="22"/>
              </w:rPr>
              <w:t xml:space="preserve">: PennEngineering is constantly working with our data partner Assent and our suppliers to maintain our list of supplied materials and update this list dynamically. </w:t>
            </w:r>
          </w:p>
          <w:p w14:paraId="3C7A37DE" w14:textId="1AC6E267" w:rsidR="00BA5A53" w:rsidRPr="00380C9D" w:rsidRDefault="00BA5A53" w:rsidP="00380C9D">
            <w:pPr>
              <w:pStyle w:val="NormalWeb"/>
              <w:shd w:val="clear" w:color="auto" w:fill="FFFFFF"/>
              <w:spacing w:before="200" w:beforeAutospacing="0" w:after="200" w:afterAutospacing="0"/>
              <w:rPr>
                <w:rFonts w:ascii="Arial" w:hAnsi="Arial" w:cs="Arial"/>
                <w:color w:val="333333"/>
                <w:sz w:val="22"/>
                <w:szCs w:val="22"/>
              </w:rPr>
            </w:pPr>
            <w:r>
              <w:rPr>
                <w:rFonts w:ascii="Arial" w:hAnsi="Arial" w:cs="Arial"/>
                <w:color w:val="333333"/>
                <w:sz w:val="22"/>
                <w:szCs w:val="22"/>
              </w:rPr>
              <w:t>To date we have achieved a 50%</w:t>
            </w:r>
            <w:r w:rsidR="007138AD">
              <w:rPr>
                <w:rFonts w:ascii="Arial" w:hAnsi="Arial" w:cs="Arial"/>
                <w:color w:val="333333"/>
                <w:sz w:val="22"/>
                <w:szCs w:val="22"/>
              </w:rPr>
              <w:t>+</w:t>
            </w:r>
            <w:r>
              <w:rPr>
                <w:rFonts w:ascii="Arial" w:hAnsi="Arial" w:cs="Arial"/>
                <w:color w:val="333333"/>
                <w:sz w:val="22"/>
                <w:szCs w:val="22"/>
              </w:rPr>
              <w:t xml:space="preserve"> response rate from targeted suppliers</w:t>
            </w:r>
            <w:r w:rsidR="007B16CE">
              <w:rPr>
                <w:rFonts w:ascii="Arial" w:hAnsi="Arial" w:cs="Arial"/>
                <w:color w:val="333333"/>
                <w:sz w:val="22"/>
                <w:szCs w:val="22"/>
              </w:rPr>
              <w:t xml:space="preserve"> </w:t>
            </w:r>
            <w:r w:rsidR="007138AD">
              <w:rPr>
                <w:rFonts w:ascii="Arial" w:hAnsi="Arial" w:cs="Arial"/>
                <w:color w:val="333333"/>
                <w:sz w:val="22"/>
                <w:szCs w:val="22"/>
              </w:rPr>
              <w:t xml:space="preserve">and </w:t>
            </w:r>
            <w:r w:rsidR="007B16CE">
              <w:rPr>
                <w:rFonts w:ascii="Arial" w:hAnsi="Arial" w:cs="Arial"/>
                <w:color w:val="333333"/>
                <w:sz w:val="22"/>
                <w:szCs w:val="22"/>
              </w:rPr>
              <w:t>are continuing the data collection campaign.</w:t>
            </w:r>
            <w:r w:rsidR="00C42175">
              <w:rPr>
                <w:rFonts w:ascii="Arial" w:hAnsi="Arial" w:cs="Arial"/>
                <w:color w:val="333333"/>
                <w:sz w:val="22"/>
                <w:szCs w:val="22"/>
              </w:rPr>
              <w:t xml:space="preserve"> We anticipate being fully completed with our work later this month (April)</w:t>
            </w:r>
            <w:r w:rsidR="00B53A31">
              <w:rPr>
                <w:rFonts w:ascii="Arial" w:hAnsi="Arial" w:cs="Arial"/>
                <w:color w:val="333333"/>
                <w:sz w:val="22"/>
                <w:szCs w:val="22"/>
              </w:rPr>
              <w:t>.</w:t>
            </w:r>
          </w:p>
          <w:p w14:paraId="35A2AE98" w14:textId="77777777"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Style w:val="Strong"/>
                <w:rFonts w:ascii="Arial" w:hAnsi="Arial" w:cs="Arial"/>
                <w:color w:val="333333"/>
                <w:sz w:val="22"/>
                <w:szCs w:val="22"/>
              </w:rPr>
              <w:t>PennEngineering’s current product status as it relates to REACH is as follows:</w:t>
            </w:r>
          </w:p>
          <w:p w14:paraId="21089A76" w14:textId="77777777" w:rsidR="00380C9D" w:rsidRPr="00380C9D" w:rsidRDefault="00380C9D" w:rsidP="00380C9D">
            <w:pPr>
              <w:pStyle w:val="NormalWeb"/>
              <w:shd w:val="clear" w:color="auto" w:fill="FFFFFF"/>
              <w:spacing w:before="200" w:beforeAutospacing="0" w:after="200" w:afterAutospacing="0"/>
              <w:rPr>
                <w:rStyle w:val="Strong"/>
                <w:rFonts w:ascii="Arial" w:hAnsi="Arial" w:cs="Arial"/>
                <w:color w:val="333333"/>
                <w:sz w:val="22"/>
                <w:szCs w:val="22"/>
              </w:rPr>
            </w:pPr>
            <w:r w:rsidRPr="00380C9D">
              <w:rPr>
                <w:rStyle w:val="Strong"/>
                <w:rFonts w:ascii="Arial" w:hAnsi="Arial" w:cs="Arial"/>
                <w:color w:val="333333"/>
                <w:sz w:val="22"/>
                <w:szCs w:val="22"/>
              </w:rPr>
              <w:t>Standard Cataloged Fastening Products</w:t>
            </w:r>
          </w:p>
          <w:p w14:paraId="475F8B6B" w14:textId="38C74FDE"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Most PennEngineering® standard, cataloged fastening products (manufactured at multiple locations) meet the reach definition of an article as outlined above.  </w:t>
            </w:r>
            <w:r w:rsidR="00B9698B" w:rsidRPr="00380C9D">
              <w:rPr>
                <w:rFonts w:ascii="Arial" w:hAnsi="Arial" w:cs="Arial"/>
                <w:color w:val="333333"/>
                <w:sz w:val="22"/>
                <w:szCs w:val="22"/>
              </w:rPr>
              <w:t>Therefore,</w:t>
            </w:r>
            <w:r w:rsidRPr="00380C9D">
              <w:rPr>
                <w:rFonts w:ascii="Arial" w:hAnsi="Arial" w:cs="Arial"/>
                <w:color w:val="333333"/>
                <w:sz w:val="22"/>
                <w:szCs w:val="22"/>
              </w:rPr>
              <w:t xml:space="preserve"> for these products, PennEngineering </w:t>
            </w:r>
            <w:proofErr w:type="gramStart"/>
            <w:r w:rsidRPr="00380C9D">
              <w:rPr>
                <w:rFonts w:ascii="Arial" w:hAnsi="Arial" w:cs="Arial"/>
                <w:color w:val="333333"/>
                <w:sz w:val="22"/>
                <w:szCs w:val="22"/>
              </w:rPr>
              <w:t>is in compliance with</w:t>
            </w:r>
            <w:proofErr w:type="gramEnd"/>
            <w:r w:rsidRPr="00380C9D">
              <w:rPr>
                <w:rFonts w:ascii="Arial" w:hAnsi="Arial" w:cs="Arial"/>
                <w:color w:val="333333"/>
                <w:sz w:val="22"/>
                <w:szCs w:val="22"/>
              </w:rPr>
              <w:t xml:space="preserve"> REACH and is not required to withdraw any product because of registration concerns.  In </w:t>
            </w:r>
            <w:r w:rsidR="00D87829" w:rsidRPr="00380C9D">
              <w:rPr>
                <w:rFonts w:ascii="Arial" w:hAnsi="Arial" w:cs="Arial"/>
                <w:color w:val="333333"/>
                <w:sz w:val="22"/>
                <w:szCs w:val="22"/>
              </w:rPr>
              <w:t>addition,</w:t>
            </w:r>
            <w:r w:rsidRPr="00380C9D">
              <w:rPr>
                <w:rFonts w:ascii="Arial" w:hAnsi="Arial" w:cs="Arial"/>
                <w:color w:val="333333"/>
                <w:sz w:val="22"/>
                <w:szCs w:val="22"/>
              </w:rPr>
              <w:t xml:space="preserve"> we have not been informed by any of our suppliers of any raw material withdrawals concerning these products.</w:t>
            </w:r>
          </w:p>
          <w:p w14:paraId="3774611D" w14:textId="77777777"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 xml:space="preserve">Exceptions which contain </w:t>
            </w:r>
            <w:proofErr w:type="gramStart"/>
            <w:r w:rsidRPr="00380C9D">
              <w:rPr>
                <w:rFonts w:ascii="Arial" w:hAnsi="Arial" w:cs="Arial"/>
                <w:color w:val="333333"/>
                <w:sz w:val="22"/>
                <w:szCs w:val="22"/>
              </w:rPr>
              <w:t>in excess of</w:t>
            </w:r>
            <w:proofErr w:type="gramEnd"/>
            <w:r w:rsidRPr="00380C9D">
              <w:rPr>
                <w:rFonts w:ascii="Arial" w:hAnsi="Arial" w:cs="Arial"/>
                <w:color w:val="333333"/>
                <w:sz w:val="22"/>
                <w:szCs w:val="22"/>
              </w:rPr>
              <w:t xml:space="preserve"> 0.1% of article weight of a SVHC are listed below in generic terms. SVHC content of any combination of type and finish can be checked using the </w:t>
            </w:r>
            <w:hyperlink r:id="rId9" w:history="1">
              <w:r w:rsidRPr="00380C9D">
                <w:rPr>
                  <w:rStyle w:val="Hyperlink"/>
                  <w:rFonts w:ascii="Arial" w:hAnsi="Arial" w:cs="Arial"/>
                  <w:b/>
                  <w:bCs/>
                  <w:color w:val="245FCC"/>
                  <w:sz w:val="22"/>
                  <w:szCs w:val="22"/>
                </w:rPr>
                <w:t>Lookup Tool </w:t>
              </w:r>
            </w:hyperlink>
            <w:r w:rsidRPr="00380C9D">
              <w:rPr>
                <w:rFonts w:ascii="Arial" w:hAnsi="Arial" w:cs="Arial"/>
                <w:color w:val="333333"/>
                <w:sz w:val="22"/>
                <w:szCs w:val="22"/>
              </w:rPr>
              <w:t>.</w:t>
            </w:r>
          </w:p>
          <w:p w14:paraId="513F028B" w14:textId="77777777" w:rsidR="00B53A31"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 Brass SI® insert types IBB, ISB, ITB, IUB, IUBB, IUTB, MSIB, PFLB, PKB, PPB, &amp; STKB and PEM types KFB3, KSSB, and SMTSOB contain the SVHC lead in leaded brass base metal.</w:t>
            </w:r>
          </w:p>
          <w:p w14:paraId="4EEF53A5" w14:textId="5DF9BFC6"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lastRenderedPageBreak/>
              <w:t xml:space="preserve">– Atlas® brand </w:t>
            </w:r>
            <w:proofErr w:type="spellStart"/>
            <w:r w:rsidRPr="00380C9D">
              <w:rPr>
                <w:rFonts w:ascii="Arial" w:hAnsi="Arial" w:cs="Arial"/>
                <w:color w:val="333333"/>
                <w:sz w:val="22"/>
                <w:szCs w:val="22"/>
              </w:rPr>
              <w:t>SpinTite</w:t>
            </w:r>
            <w:proofErr w:type="spellEnd"/>
            <w:r w:rsidRPr="00380C9D">
              <w:rPr>
                <w:rFonts w:ascii="Arial" w:hAnsi="Arial" w:cs="Arial"/>
                <w:color w:val="333333"/>
                <w:sz w:val="22"/>
                <w:szCs w:val="22"/>
              </w:rPr>
              <w:t>® product types AETA, AETB, AETC, AETS, AEWA, AEWB, AEWC and AEWS 360° swaging style.  The standard finish on these products is cadmium which is an SVHC.</w:t>
            </w:r>
          </w:p>
          <w:p w14:paraId="4E68D288" w14:textId="77777777"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 xml:space="preserve">– AETA, AETB, AETC, AETS, AEWA, AEWB, AEWC and AEWS 360° swaging style plated with a “9” plating </w:t>
            </w:r>
            <w:proofErr w:type="gramStart"/>
            <w:r w:rsidRPr="00380C9D">
              <w:rPr>
                <w:rFonts w:ascii="Arial" w:hAnsi="Arial" w:cs="Arial"/>
                <w:color w:val="333333"/>
                <w:sz w:val="22"/>
                <w:szCs w:val="22"/>
              </w:rPr>
              <w:t>do</w:t>
            </w:r>
            <w:proofErr w:type="gramEnd"/>
            <w:r w:rsidRPr="00380C9D">
              <w:rPr>
                <w:rFonts w:ascii="Arial" w:hAnsi="Arial" w:cs="Arial"/>
                <w:color w:val="333333"/>
                <w:sz w:val="22"/>
                <w:szCs w:val="22"/>
              </w:rPr>
              <w:t xml:space="preserve"> not contain a SVHC.</w:t>
            </w:r>
          </w:p>
          <w:p w14:paraId="26619355" w14:textId="77777777"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 xml:space="preserve">– Atlas® brand </w:t>
            </w:r>
            <w:proofErr w:type="spellStart"/>
            <w:r w:rsidRPr="00380C9D">
              <w:rPr>
                <w:rFonts w:ascii="Arial" w:hAnsi="Arial" w:cs="Arial"/>
                <w:color w:val="333333"/>
                <w:sz w:val="22"/>
                <w:szCs w:val="22"/>
              </w:rPr>
              <w:t>MaxTite</w:t>
            </w:r>
            <w:proofErr w:type="spellEnd"/>
            <w:r w:rsidRPr="00380C9D">
              <w:rPr>
                <w:rFonts w:ascii="Arial" w:hAnsi="Arial" w:cs="Arial"/>
                <w:color w:val="333333"/>
                <w:sz w:val="22"/>
                <w:szCs w:val="22"/>
              </w:rPr>
              <w:t>® fasteners with material designation S (steel) and CH (alloy steel).  The standard finish on these products is cadmium which is an SVHC.  When exposed to certain corrodents such as hydrochloric acid, cadmium chloride which is also a SVHC will form on the surface of cadmium plated parts.</w:t>
            </w:r>
          </w:p>
          <w:p w14:paraId="085DFB40" w14:textId="6E692D1A" w:rsidR="00380C9D" w:rsidRPr="00380C9D" w:rsidRDefault="00380C9D" w:rsidP="00797FC7">
            <w:pPr>
              <w:pStyle w:val="NormalWeb"/>
              <w:shd w:val="clear" w:color="auto" w:fill="FFFFFF"/>
              <w:spacing w:before="200" w:beforeAutospacing="0" w:after="200" w:afterAutospacing="0"/>
              <w:rPr>
                <w:rFonts w:ascii="Arial" w:hAnsi="Arial" w:cs="Arial"/>
                <w:color w:val="333333"/>
                <w:sz w:val="22"/>
                <w:szCs w:val="22"/>
              </w:rPr>
            </w:pPr>
            <w:r w:rsidRPr="00380C9D">
              <w:rPr>
                <w:rStyle w:val="Strong"/>
                <w:rFonts w:ascii="Arial" w:hAnsi="Arial" w:cs="Arial"/>
                <w:color w:val="333333"/>
                <w:sz w:val="22"/>
                <w:szCs w:val="22"/>
              </w:rPr>
              <w:t>Non-standard, Non</w:t>
            </w:r>
            <w:r w:rsidR="00B35357">
              <w:rPr>
                <w:rStyle w:val="Strong"/>
                <w:rFonts w:ascii="Arial" w:hAnsi="Arial" w:cs="Arial"/>
                <w:color w:val="333333"/>
                <w:sz w:val="22"/>
                <w:szCs w:val="22"/>
              </w:rPr>
              <w:t>-</w:t>
            </w:r>
            <w:r w:rsidRPr="00380C9D">
              <w:rPr>
                <w:rStyle w:val="Strong"/>
                <w:rFonts w:ascii="Arial" w:hAnsi="Arial" w:cs="Arial"/>
                <w:color w:val="333333"/>
                <w:sz w:val="22"/>
                <w:szCs w:val="22"/>
              </w:rPr>
              <w:t>Cataloged Products</w:t>
            </w:r>
          </w:p>
          <w:p w14:paraId="187C71C9" w14:textId="41ED4C6B"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 xml:space="preserve">Certain non-standard PennEngineering products contain cadmium which is an SVHC.  These include self-locking versions of NASM part number prefixes M45938/7, M45938/11 and any parts with EF, EF-D, C or CI plating suffix.  Also included are steel versions of NASM part number prefixes M45938 or M63540.  In </w:t>
            </w:r>
            <w:proofErr w:type="gramStart"/>
            <w:r w:rsidRPr="00380C9D">
              <w:rPr>
                <w:rFonts w:ascii="Arial" w:hAnsi="Arial" w:cs="Arial"/>
                <w:color w:val="333333"/>
                <w:sz w:val="22"/>
                <w:szCs w:val="22"/>
              </w:rPr>
              <w:t>addition</w:t>
            </w:r>
            <w:proofErr w:type="gramEnd"/>
            <w:r w:rsidRPr="00380C9D">
              <w:rPr>
                <w:rFonts w:ascii="Arial" w:hAnsi="Arial" w:cs="Arial"/>
                <w:color w:val="333333"/>
                <w:sz w:val="22"/>
                <w:szCs w:val="22"/>
              </w:rPr>
              <w:t xml:space="preserve"> steel and alloy steel material versions of Atlas brand </w:t>
            </w:r>
            <w:proofErr w:type="spellStart"/>
            <w:r w:rsidRPr="00380C9D">
              <w:rPr>
                <w:rFonts w:ascii="Arial" w:hAnsi="Arial" w:cs="Arial"/>
                <w:color w:val="333333"/>
                <w:sz w:val="22"/>
                <w:szCs w:val="22"/>
              </w:rPr>
              <w:t>SpinTite</w:t>
            </w:r>
            <w:proofErr w:type="spellEnd"/>
            <w:r w:rsidRPr="00380C9D">
              <w:rPr>
                <w:rFonts w:ascii="Arial" w:hAnsi="Arial" w:cs="Arial"/>
                <w:color w:val="333333"/>
                <w:sz w:val="22"/>
                <w:szCs w:val="22"/>
              </w:rPr>
              <w:t xml:space="preserve">® Part with a finish code number of 2 or 7 </w:t>
            </w:r>
            <w:proofErr w:type="gramStart"/>
            <w:r w:rsidRPr="00380C9D">
              <w:rPr>
                <w:rFonts w:ascii="Arial" w:hAnsi="Arial" w:cs="Arial"/>
                <w:color w:val="333333"/>
                <w:sz w:val="22"/>
                <w:szCs w:val="22"/>
              </w:rPr>
              <w:t xml:space="preserve">and  </w:t>
            </w:r>
            <w:proofErr w:type="spellStart"/>
            <w:r w:rsidRPr="00380C9D">
              <w:rPr>
                <w:rFonts w:ascii="Arial" w:hAnsi="Arial" w:cs="Arial"/>
                <w:color w:val="333333"/>
                <w:sz w:val="22"/>
                <w:szCs w:val="22"/>
              </w:rPr>
              <w:t>MaxTite</w:t>
            </w:r>
            <w:proofErr w:type="spellEnd"/>
            <w:proofErr w:type="gramEnd"/>
            <w:r w:rsidRPr="00380C9D">
              <w:rPr>
                <w:rFonts w:ascii="Arial" w:hAnsi="Arial" w:cs="Arial"/>
                <w:color w:val="333333"/>
                <w:sz w:val="22"/>
                <w:szCs w:val="22"/>
              </w:rPr>
              <w:t xml:space="preserve">®, </w:t>
            </w:r>
            <w:proofErr w:type="spellStart"/>
            <w:r w:rsidRPr="00380C9D">
              <w:rPr>
                <w:rFonts w:ascii="Arial" w:hAnsi="Arial" w:cs="Arial"/>
                <w:color w:val="333333"/>
                <w:sz w:val="22"/>
                <w:szCs w:val="22"/>
              </w:rPr>
              <w:t>Plus+Tite</w:t>
            </w:r>
            <w:proofErr w:type="spellEnd"/>
            <w:r w:rsidRPr="00380C9D">
              <w:rPr>
                <w:rFonts w:ascii="Arial" w:hAnsi="Arial" w:cs="Arial"/>
                <w:color w:val="333333"/>
                <w:sz w:val="22"/>
                <w:szCs w:val="22"/>
              </w:rPr>
              <w:t xml:space="preserve">® or Full-Hex body parts with finish suffix CSI or no finish </w:t>
            </w:r>
            <w:proofErr w:type="gramStart"/>
            <w:r w:rsidRPr="00380C9D">
              <w:rPr>
                <w:rFonts w:ascii="Arial" w:hAnsi="Arial" w:cs="Arial"/>
                <w:color w:val="333333"/>
                <w:sz w:val="22"/>
                <w:szCs w:val="22"/>
              </w:rPr>
              <w:t>suffix .</w:t>
            </w:r>
            <w:proofErr w:type="gramEnd"/>
            <w:r w:rsidRPr="00380C9D">
              <w:rPr>
                <w:rFonts w:ascii="Arial" w:hAnsi="Arial" w:cs="Arial"/>
                <w:color w:val="333333"/>
                <w:sz w:val="22"/>
                <w:szCs w:val="22"/>
              </w:rPr>
              <w:t xml:space="preserve">  </w:t>
            </w:r>
            <w:proofErr w:type="gramStart"/>
            <w:r w:rsidRPr="00380C9D">
              <w:rPr>
                <w:rFonts w:ascii="Arial" w:hAnsi="Arial" w:cs="Arial"/>
                <w:color w:val="333333"/>
                <w:sz w:val="22"/>
                <w:szCs w:val="22"/>
              </w:rPr>
              <w:t>All of</w:t>
            </w:r>
            <w:proofErr w:type="gramEnd"/>
            <w:r w:rsidRPr="00380C9D">
              <w:rPr>
                <w:rFonts w:ascii="Arial" w:hAnsi="Arial" w:cs="Arial"/>
                <w:color w:val="333333"/>
                <w:sz w:val="22"/>
                <w:szCs w:val="22"/>
              </w:rPr>
              <w:t xml:space="preserve"> the above </w:t>
            </w:r>
            <w:proofErr w:type="gramStart"/>
            <w:r w:rsidRPr="00380C9D">
              <w:rPr>
                <w:rFonts w:ascii="Arial" w:hAnsi="Arial" w:cs="Arial"/>
                <w:color w:val="333333"/>
                <w:sz w:val="22"/>
                <w:szCs w:val="22"/>
              </w:rPr>
              <w:t>contain</w:t>
            </w:r>
            <w:proofErr w:type="gramEnd"/>
            <w:r w:rsidRPr="00380C9D">
              <w:rPr>
                <w:rFonts w:ascii="Arial" w:hAnsi="Arial" w:cs="Arial"/>
                <w:color w:val="333333"/>
                <w:sz w:val="22"/>
                <w:szCs w:val="22"/>
              </w:rPr>
              <w:t xml:space="preserve"> </w:t>
            </w:r>
            <w:proofErr w:type="gramStart"/>
            <w:r w:rsidRPr="00380C9D">
              <w:rPr>
                <w:rFonts w:ascii="Arial" w:hAnsi="Arial" w:cs="Arial"/>
                <w:color w:val="333333"/>
                <w:sz w:val="22"/>
                <w:szCs w:val="22"/>
              </w:rPr>
              <w:t>cadmium</w:t>
            </w:r>
            <w:proofErr w:type="gramEnd"/>
            <w:r w:rsidRPr="00380C9D">
              <w:rPr>
                <w:rFonts w:ascii="Arial" w:hAnsi="Arial" w:cs="Arial"/>
                <w:color w:val="333333"/>
                <w:sz w:val="22"/>
                <w:szCs w:val="22"/>
              </w:rPr>
              <w:t>.  When exposed to certain corrodents such as hydrochloric acid, cadmium chloride which is also a SVHC will form on the surface of cadmium plated parts.  Locking versions of M459038/7 and M45938/11 and any part with EF, EF-D or TE finish suffix also contain the SVHC lead phosphite. </w:t>
            </w:r>
            <w:r w:rsidRPr="00380C9D">
              <w:rPr>
                <w:rFonts w:ascii="Arial" w:hAnsi="Arial" w:cs="Arial"/>
                <w:color w:val="333333"/>
                <w:sz w:val="22"/>
                <w:szCs w:val="22"/>
              </w:rPr>
              <w:br/>
              <w:t>Other non-standard parts may contain SVHC’s other than cadmium. For information on SVHC content of other non-cataloged parts please contact </w:t>
            </w:r>
            <w:hyperlink r:id="rId10" w:tgtFrame="_blank" w:history="1">
              <w:r w:rsidRPr="00380C9D">
                <w:rPr>
                  <w:rStyle w:val="Hyperlink"/>
                  <w:rFonts w:ascii="Arial" w:hAnsi="Arial" w:cs="Arial"/>
                  <w:b/>
                  <w:bCs/>
                  <w:color w:val="245FCC"/>
                  <w:sz w:val="22"/>
                  <w:szCs w:val="22"/>
                </w:rPr>
                <w:t>compliance@pemnet.com</w:t>
              </w:r>
            </w:hyperlink>
            <w:r w:rsidRPr="00380C9D">
              <w:rPr>
                <w:rFonts w:ascii="Arial" w:hAnsi="Arial" w:cs="Arial"/>
                <w:color w:val="333333"/>
                <w:sz w:val="22"/>
                <w:szCs w:val="22"/>
              </w:rPr>
              <w:t>.</w:t>
            </w:r>
            <w:r w:rsidRPr="00380C9D">
              <w:rPr>
                <w:rFonts w:ascii="Arial" w:hAnsi="Arial" w:cs="Arial"/>
                <w:color w:val="333333"/>
                <w:sz w:val="22"/>
                <w:szCs w:val="22"/>
              </w:rPr>
              <w:br/>
              <w:t>__________________________________________________________________________</w:t>
            </w:r>
          </w:p>
          <w:p w14:paraId="7925F3F3" w14:textId="77777777"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Going forward, all substances, that require registration, will be pre-registered by our upstream suppliers or us.  Subsequently, all substances that require registration will be registered in accordance with REACH.  </w:t>
            </w:r>
          </w:p>
          <w:p w14:paraId="400C9981" w14:textId="28CB45A6"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r w:rsidRPr="00380C9D">
              <w:rPr>
                <w:rFonts w:ascii="Arial" w:hAnsi="Arial" w:cs="Arial"/>
                <w:color w:val="333333"/>
                <w:sz w:val="22"/>
                <w:szCs w:val="22"/>
              </w:rPr>
              <w:t xml:space="preserve">A corporate REACH coordinator has been </w:t>
            </w:r>
            <w:r w:rsidR="00673A6D">
              <w:rPr>
                <w:rFonts w:ascii="Arial" w:hAnsi="Arial" w:cs="Arial"/>
                <w:color w:val="333333"/>
                <w:sz w:val="22"/>
                <w:szCs w:val="22"/>
              </w:rPr>
              <w:t>assigned</w:t>
            </w:r>
            <w:r w:rsidRPr="00380C9D">
              <w:rPr>
                <w:rFonts w:ascii="Arial" w:hAnsi="Arial" w:cs="Arial"/>
                <w:color w:val="333333"/>
                <w:sz w:val="22"/>
                <w:szCs w:val="22"/>
              </w:rPr>
              <w:t>.  They will oversee all REACH relevant activities, including contacting suppliers regarding their intention to register certain substances (where necessary), communicate safety information to employees and customers, and monitor the SVHC (Candidate List of Substances of Very High Concern for Authorization) list for future additions specific to our EU customers.</w:t>
            </w:r>
          </w:p>
          <w:p w14:paraId="3E69B6D1" w14:textId="77777777" w:rsidR="00380C9D" w:rsidRPr="00380C9D" w:rsidRDefault="00380C9D" w:rsidP="00380C9D">
            <w:pPr>
              <w:pStyle w:val="NormalWeb"/>
              <w:shd w:val="clear" w:color="auto" w:fill="FFFFFF"/>
              <w:spacing w:before="200" w:beforeAutospacing="0" w:after="200" w:afterAutospacing="0"/>
              <w:rPr>
                <w:rFonts w:ascii="Arial" w:hAnsi="Arial" w:cs="Arial"/>
                <w:color w:val="333333"/>
                <w:sz w:val="22"/>
                <w:szCs w:val="22"/>
              </w:rPr>
            </w:pPr>
            <w:hyperlink r:id="rId11" w:tgtFrame="_blank" w:history="1">
              <w:r w:rsidRPr="00380C9D">
                <w:rPr>
                  <w:rStyle w:val="Hyperlink"/>
                  <w:rFonts w:ascii="Arial" w:hAnsi="Arial" w:cs="Arial"/>
                  <w:b/>
                  <w:bCs/>
                  <w:color w:val="245FCC"/>
                  <w:sz w:val="22"/>
                  <w:szCs w:val="22"/>
                </w:rPr>
                <w:t>To print out the Corporate REACH Statement on Company letterhead, please click here</w:t>
              </w:r>
            </w:hyperlink>
            <w:r w:rsidRPr="00380C9D">
              <w:rPr>
                <w:rFonts w:ascii="Arial" w:hAnsi="Arial" w:cs="Arial"/>
                <w:color w:val="333333"/>
                <w:sz w:val="22"/>
                <w:szCs w:val="22"/>
              </w:rPr>
              <w:t>.</w:t>
            </w:r>
          </w:p>
          <w:p w14:paraId="2D34D05C" w14:textId="6FB355EC" w:rsidR="00380C9D" w:rsidRPr="00380C9D" w:rsidRDefault="00380C9D" w:rsidP="00380C9D">
            <w:pPr>
              <w:pStyle w:val="NormalWeb"/>
              <w:shd w:val="clear" w:color="auto" w:fill="FFFFFF"/>
              <w:spacing w:before="200" w:beforeAutospacing="0" w:after="200" w:afterAutospacing="0"/>
              <w:rPr>
                <w:rFonts w:ascii="Calibri" w:hAnsi="Calibri" w:cs="Calibri"/>
                <w:sz w:val="22"/>
                <w:szCs w:val="22"/>
              </w:rPr>
            </w:pPr>
            <w:r w:rsidRPr="00380C9D">
              <w:rPr>
                <w:rFonts w:ascii="Arial" w:hAnsi="Arial" w:cs="Arial"/>
                <w:color w:val="333333"/>
                <w:sz w:val="22"/>
                <w:szCs w:val="22"/>
              </w:rPr>
              <w:t>Any questions concerning PennEngineering and REACH requirements should be directed to </w:t>
            </w:r>
            <w:hyperlink r:id="rId12" w:tgtFrame="_blank" w:history="1">
              <w:r w:rsidRPr="00380C9D">
                <w:rPr>
                  <w:rStyle w:val="Hyperlink"/>
                  <w:rFonts w:ascii="Arial" w:hAnsi="Arial" w:cs="Arial"/>
                  <w:b/>
                  <w:bCs/>
                  <w:color w:val="245FCC"/>
                  <w:sz w:val="22"/>
                  <w:szCs w:val="22"/>
                </w:rPr>
                <w:t>compliance@pemnet.com</w:t>
              </w:r>
            </w:hyperlink>
            <w:r w:rsidRPr="00380C9D">
              <w:rPr>
                <w:rFonts w:ascii="Arial" w:hAnsi="Arial" w:cs="Arial"/>
                <w:color w:val="333333"/>
                <w:sz w:val="22"/>
                <w:szCs w:val="22"/>
              </w:rPr>
              <w:t>. This after using the part number specific look-up tool on the Sustainability page.</w:t>
            </w:r>
          </w:p>
        </w:tc>
      </w:tr>
      <w:tr w:rsidR="00E6175E" w:rsidRPr="009157A3" w14:paraId="65A23C90" w14:textId="77777777" w:rsidTr="00855EA5">
        <w:trPr>
          <w:trHeight w:val="288"/>
        </w:trPr>
        <w:tc>
          <w:tcPr>
            <w:tcW w:w="5400" w:type="dxa"/>
            <w:tcBorders>
              <w:top w:val="nil"/>
              <w:left w:val="nil"/>
              <w:bottom w:val="nil"/>
              <w:right w:val="nil"/>
            </w:tcBorders>
            <w:shd w:val="clear" w:color="auto" w:fill="auto"/>
            <w:noWrap/>
            <w:vAlign w:val="bottom"/>
          </w:tcPr>
          <w:p w14:paraId="2C6D3180" w14:textId="77777777" w:rsidR="00E6175E" w:rsidRPr="00380C9D" w:rsidRDefault="00E6175E" w:rsidP="00E6175E">
            <w:pPr>
              <w:spacing w:after="0" w:line="240" w:lineRule="auto"/>
            </w:pPr>
          </w:p>
          <w:p w14:paraId="4425E42B" w14:textId="77777777" w:rsidR="00E6175E" w:rsidRPr="00380C9D" w:rsidRDefault="00E6175E" w:rsidP="00E6175E">
            <w:pPr>
              <w:spacing w:after="0" w:line="240" w:lineRule="auto"/>
            </w:pPr>
            <w:r w:rsidRPr="00380C9D">
              <w:t>Rocky,</w:t>
            </w:r>
          </w:p>
          <w:p w14:paraId="7CAF0DEC" w14:textId="77777777" w:rsidR="00E6175E" w:rsidRPr="00380C9D" w:rsidRDefault="00E6175E" w:rsidP="00E6175E">
            <w:pPr>
              <w:spacing w:after="0" w:line="240" w:lineRule="auto"/>
            </w:pPr>
          </w:p>
          <w:p w14:paraId="0BB09BB2" w14:textId="77777777" w:rsidR="00E6175E" w:rsidRPr="00380C9D" w:rsidRDefault="00E6175E" w:rsidP="00E6175E">
            <w:pPr>
              <w:spacing w:after="0" w:line="240" w:lineRule="auto"/>
            </w:pPr>
            <w:r w:rsidRPr="00380C9D">
              <w:t>Rocky Pinheiro, Ph.D.</w:t>
            </w:r>
          </w:p>
          <w:p w14:paraId="1151A385" w14:textId="77777777" w:rsidR="00E6175E" w:rsidRPr="00380C9D" w:rsidRDefault="00E6175E" w:rsidP="00E6175E">
            <w:pPr>
              <w:spacing w:after="0" w:line="240" w:lineRule="auto"/>
            </w:pPr>
            <w:r w:rsidRPr="00380C9D">
              <w:t>Global Vice President of Quality, PennEngineering</w:t>
            </w:r>
          </w:p>
          <w:p w14:paraId="03FAE1D1" w14:textId="77777777" w:rsidR="00E6175E" w:rsidRPr="00380C9D" w:rsidRDefault="00E6175E" w:rsidP="00E6175E">
            <w:pPr>
              <w:spacing w:after="0" w:line="240" w:lineRule="auto"/>
            </w:pPr>
            <w:hyperlink r:id="rId13" w:history="1">
              <w:r w:rsidRPr="00380C9D">
                <w:rPr>
                  <w:rStyle w:val="Hyperlink"/>
                </w:rPr>
                <w:t>rpinheiro@pemnet.com</w:t>
              </w:r>
            </w:hyperlink>
          </w:p>
          <w:p w14:paraId="1100C56A" w14:textId="4A45CA55" w:rsidR="00E6175E" w:rsidRPr="00380C9D" w:rsidRDefault="00E6175E" w:rsidP="003639C1">
            <w:pPr>
              <w:spacing w:after="0" w:line="240" w:lineRule="auto"/>
              <w:rPr>
                <w:rFonts w:ascii="Calibri" w:eastAsia="Times New Roman" w:hAnsi="Calibri" w:cs="Calibri"/>
              </w:rPr>
            </w:pPr>
            <w:r w:rsidRPr="00380C9D">
              <w:t>586-610-3500</w:t>
            </w:r>
          </w:p>
        </w:tc>
      </w:tr>
    </w:tbl>
    <w:p w14:paraId="2ACD3F21" w14:textId="77777777" w:rsidR="007D6A80" w:rsidRDefault="007D6A80" w:rsidP="00122BDE"/>
    <w:sectPr w:rsidR="007D6A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26B5" w14:textId="77777777" w:rsidR="0098116A" w:rsidRDefault="0098116A" w:rsidP="00380C9D">
      <w:pPr>
        <w:spacing w:after="0" w:line="240" w:lineRule="auto"/>
      </w:pPr>
      <w:r>
        <w:separator/>
      </w:r>
    </w:p>
  </w:endnote>
  <w:endnote w:type="continuationSeparator" w:id="0">
    <w:p w14:paraId="52C20003" w14:textId="77777777" w:rsidR="0098116A" w:rsidRDefault="0098116A" w:rsidP="0038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7A4D" w14:textId="77777777" w:rsidR="0098116A" w:rsidRDefault="0098116A" w:rsidP="00380C9D">
      <w:pPr>
        <w:spacing w:after="0" w:line="240" w:lineRule="auto"/>
      </w:pPr>
      <w:r>
        <w:separator/>
      </w:r>
    </w:p>
  </w:footnote>
  <w:footnote w:type="continuationSeparator" w:id="0">
    <w:p w14:paraId="35C856A9" w14:textId="77777777" w:rsidR="0098116A" w:rsidRDefault="0098116A" w:rsidP="00380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363CC"/>
    <w:multiLevelType w:val="hybridMultilevel"/>
    <w:tmpl w:val="FFF0331E"/>
    <w:lvl w:ilvl="0" w:tplc="09B0226E">
      <w:numFmt w:val="bullet"/>
      <w:lvlText w:val=""/>
      <w:lvlJc w:val="left"/>
      <w:pPr>
        <w:ind w:left="1561" w:hanging="361"/>
      </w:pPr>
      <w:rPr>
        <w:rFonts w:ascii="Symbol" w:eastAsia="Symbol" w:hAnsi="Symbol" w:cs="Symbol" w:hint="default"/>
        <w:w w:val="100"/>
        <w:sz w:val="22"/>
        <w:szCs w:val="22"/>
        <w:lang w:val="en-US" w:eastAsia="en-US" w:bidi="en-US"/>
      </w:rPr>
    </w:lvl>
    <w:lvl w:ilvl="1" w:tplc="32A4184E">
      <w:numFmt w:val="bullet"/>
      <w:lvlText w:val=""/>
      <w:lvlJc w:val="left"/>
      <w:pPr>
        <w:ind w:left="2281" w:hanging="361"/>
      </w:pPr>
      <w:rPr>
        <w:rFonts w:ascii="Wingdings" w:eastAsia="Wingdings" w:hAnsi="Wingdings" w:cs="Wingdings" w:hint="default"/>
        <w:w w:val="100"/>
        <w:sz w:val="22"/>
        <w:szCs w:val="22"/>
        <w:lang w:val="en-US" w:eastAsia="en-US" w:bidi="en-US"/>
      </w:rPr>
    </w:lvl>
    <w:lvl w:ilvl="2" w:tplc="B13AAED8">
      <w:numFmt w:val="bullet"/>
      <w:lvlText w:val="•"/>
      <w:lvlJc w:val="left"/>
      <w:pPr>
        <w:ind w:left="3077" w:hanging="361"/>
      </w:pPr>
      <w:rPr>
        <w:rFonts w:hint="default"/>
        <w:lang w:val="en-US" w:eastAsia="en-US" w:bidi="en-US"/>
      </w:rPr>
    </w:lvl>
    <w:lvl w:ilvl="3" w:tplc="0A98B020">
      <w:numFmt w:val="bullet"/>
      <w:lvlText w:val="•"/>
      <w:lvlJc w:val="left"/>
      <w:pPr>
        <w:ind w:left="3875" w:hanging="361"/>
      </w:pPr>
      <w:rPr>
        <w:rFonts w:hint="default"/>
        <w:lang w:val="en-US" w:eastAsia="en-US" w:bidi="en-US"/>
      </w:rPr>
    </w:lvl>
    <w:lvl w:ilvl="4" w:tplc="61348048">
      <w:numFmt w:val="bullet"/>
      <w:lvlText w:val="•"/>
      <w:lvlJc w:val="left"/>
      <w:pPr>
        <w:ind w:left="4673" w:hanging="361"/>
      </w:pPr>
      <w:rPr>
        <w:rFonts w:hint="default"/>
        <w:lang w:val="en-US" w:eastAsia="en-US" w:bidi="en-US"/>
      </w:rPr>
    </w:lvl>
    <w:lvl w:ilvl="5" w:tplc="EB3AA6EC">
      <w:numFmt w:val="bullet"/>
      <w:lvlText w:val="•"/>
      <w:lvlJc w:val="left"/>
      <w:pPr>
        <w:ind w:left="5471" w:hanging="361"/>
      </w:pPr>
      <w:rPr>
        <w:rFonts w:hint="default"/>
        <w:lang w:val="en-US" w:eastAsia="en-US" w:bidi="en-US"/>
      </w:rPr>
    </w:lvl>
    <w:lvl w:ilvl="6" w:tplc="4A0E5134">
      <w:numFmt w:val="bullet"/>
      <w:lvlText w:val="•"/>
      <w:lvlJc w:val="left"/>
      <w:pPr>
        <w:ind w:left="6268" w:hanging="361"/>
      </w:pPr>
      <w:rPr>
        <w:rFonts w:hint="default"/>
        <w:lang w:val="en-US" w:eastAsia="en-US" w:bidi="en-US"/>
      </w:rPr>
    </w:lvl>
    <w:lvl w:ilvl="7" w:tplc="C388C964">
      <w:numFmt w:val="bullet"/>
      <w:lvlText w:val="•"/>
      <w:lvlJc w:val="left"/>
      <w:pPr>
        <w:ind w:left="7066" w:hanging="361"/>
      </w:pPr>
      <w:rPr>
        <w:rFonts w:hint="default"/>
        <w:lang w:val="en-US" w:eastAsia="en-US" w:bidi="en-US"/>
      </w:rPr>
    </w:lvl>
    <w:lvl w:ilvl="8" w:tplc="A27E4468">
      <w:numFmt w:val="bullet"/>
      <w:lvlText w:val="•"/>
      <w:lvlJc w:val="left"/>
      <w:pPr>
        <w:ind w:left="7864" w:hanging="361"/>
      </w:pPr>
      <w:rPr>
        <w:rFonts w:hint="default"/>
        <w:lang w:val="en-US" w:eastAsia="en-US" w:bidi="en-US"/>
      </w:rPr>
    </w:lvl>
  </w:abstractNum>
  <w:abstractNum w:abstractNumId="1" w15:restartNumberingAfterBreak="0">
    <w:nsid w:val="6E992D97"/>
    <w:multiLevelType w:val="hybridMultilevel"/>
    <w:tmpl w:val="A39E6C8C"/>
    <w:lvl w:ilvl="0" w:tplc="09B0226E">
      <w:numFmt w:val="bullet"/>
      <w:lvlText w:val=""/>
      <w:lvlJc w:val="left"/>
      <w:pPr>
        <w:ind w:left="840" w:hanging="361"/>
      </w:pPr>
      <w:rPr>
        <w:rFonts w:ascii="Symbol" w:eastAsia="Symbol" w:hAnsi="Symbol" w:cs="Symbol" w:hint="default"/>
        <w:w w:val="100"/>
        <w:sz w:val="22"/>
        <w:szCs w:val="22"/>
        <w:lang w:val="en-US" w:eastAsia="en-US" w:bidi="en-US"/>
      </w:rPr>
    </w:lvl>
    <w:lvl w:ilvl="1" w:tplc="40044340">
      <w:start w:val="2"/>
      <w:numFmt w:val="lowerLetter"/>
      <w:lvlText w:val="%2)"/>
      <w:lvlJc w:val="left"/>
      <w:pPr>
        <w:ind w:left="902" w:hanging="233"/>
        <w:jc w:val="left"/>
      </w:pPr>
      <w:rPr>
        <w:rFonts w:ascii="Calibri" w:eastAsia="Calibri" w:hAnsi="Calibri" w:cs="Calibri" w:hint="default"/>
        <w:spacing w:val="-1"/>
        <w:w w:val="100"/>
        <w:sz w:val="22"/>
        <w:szCs w:val="22"/>
        <w:lang w:val="en-US" w:eastAsia="en-US" w:bidi="en-US"/>
      </w:rPr>
    </w:lvl>
    <w:lvl w:ilvl="2" w:tplc="77488500">
      <w:numFmt w:val="bullet"/>
      <w:lvlText w:val="•"/>
      <w:lvlJc w:val="left"/>
      <w:pPr>
        <w:ind w:left="1560" w:hanging="233"/>
      </w:pPr>
      <w:rPr>
        <w:rFonts w:hint="default"/>
        <w:lang w:val="en-US" w:eastAsia="en-US" w:bidi="en-US"/>
      </w:rPr>
    </w:lvl>
    <w:lvl w:ilvl="3" w:tplc="C1AED966">
      <w:numFmt w:val="bullet"/>
      <w:lvlText w:val="•"/>
      <w:lvlJc w:val="left"/>
      <w:pPr>
        <w:ind w:left="2547" w:hanging="233"/>
      </w:pPr>
      <w:rPr>
        <w:rFonts w:hint="default"/>
        <w:lang w:val="en-US" w:eastAsia="en-US" w:bidi="en-US"/>
      </w:rPr>
    </w:lvl>
    <w:lvl w:ilvl="4" w:tplc="C812DCD6">
      <w:numFmt w:val="bullet"/>
      <w:lvlText w:val="•"/>
      <w:lvlJc w:val="left"/>
      <w:pPr>
        <w:ind w:left="3535" w:hanging="233"/>
      </w:pPr>
      <w:rPr>
        <w:rFonts w:hint="default"/>
        <w:lang w:val="en-US" w:eastAsia="en-US" w:bidi="en-US"/>
      </w:rPr>
    </w:lvl>
    <w:lvl w:ilvl="5" w:tplc="84E4C0E2">
      <w:numFmt w:val="bullet"/>
      <w:lvlText w:val="•"/>
      <w:lvlJc w:val="left"/>
      <w:pPr>
        <w:ind w:left="4522" w:hanging="233"/>
      </w:pPr>
      <w:rPr>
        <w:rFonts w:hint="default"/>
        <w:lang w:val="en-US" w:eastAsia="en-US" w:bidi="en-US"/>
      </w:rPr>
    </w:lvl>
    <w:lvl w:ilvl="6" w:tplc="4DB6C7C6">
      <w:numFmt w:val="bullet"/>
      <w:lvlText w:val="•"/>
      <w:lvlJc w:val="left"/>
      <w:pPr>
        <w:ind w:left="5510" w:hanging="233"/>
      </w:pPr>
      <w:rPr>
        <w:rFonts w:hint="default"/>
        <w:lang w:val="en-US" w:eastAsia="en-US" w:bidi="en-US"/>
      </w:rPr>
    </w:lvl>
    <w:lvl w:ilvl="7" w:tplc="77DE0920">
      <w:numFmt w:val="bullet"/>
      <w:lvlText w:val="•"/>
      <w:lvlJc w:val="left"/>
      <w:pPr>
        <w:ind w:left="6497" w:hanging="233"/>
      </w:pPr>
      <w:rPr>
        <w:rFonts w:hint="default"/>
        <w:lang w:val="en-US" w:eastAsia="en-US" w:bidi="en-US"/>
      </w:rPr>
    </w:lvl>
    <w:lvl w:ilvl="8" w:tplc="845652C2">
      <w:numFmt w:val="bullet"/>
      <w:lvlText w:val="•"/>
      <w:lvlJc w:val="left"/>
      <w:pPr>
        <w:ind w:left="7485" w:hanging="233"/>
      </w:pPr>
      <w:rPr>
        <w:rFonts w:hint="default"/>
        <w:lang w:val="en-US" w:eastAsia="en-US" w:bidi="en-US"/>
      </w:rPr>
    </w:lvl>
  </w:abstractNum>
  <w:num w:numId="1" w16cid:durableId="989672613">
    <w:abstractNumId w:val="0"/>
  </w:num>
  <w:num w:numId="2" w16cid:durableId="100474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EB7"/>
    <w:rsid w:val="0007149F"/>
    <w:rsid w:val="0010001A"/>
    <w:rsid w:val="00122BDE"/>
    <w:rsid w:val="001244C7"/>
    <w:rsid w:val="001B42AA"/>
    <w:rsid w:val="002512D7"/>
    <w:rsid w:val="002B09B1"/>
    <w:rsid w:val="003639C1"/>
    <w:rsid w:val="00380C9D"/>
    <w:rsid w:val="003D2A27"/>
    <w:rsid w:val="003D563C"/>
    <w:rsid w:val="003E2B1C"/>
    <w:rsid w:val="003F38E4"/>
    <w:rsid w:val="00406483"/>
    <w:rsid w:val="00473AD6"/>
    <w:rsid w:val="0047537F"/>
    <w:rsid w:val="004B0E13"/>
    <w:rsid w:val="004D051F"/>
    <w:rsid w:val="005A2486"/>
    <w:rsid w:val="006413CB"/>
    <w:rsid w:val="00673A6D"/>
    <w:rsid w:val="006C421C"/>
    <w:rsid w:val="006D6244"/>
    <w:rsid w:val="006E7D8F"/>
    <w:rsid w:val="007138AD"/>
    <w:rsid w:val="00797FC7"/>
    <w:rsid w:val="007B16CE"/>
    <w:rsid w:val="007C493B"/>
    <w:rsid w:val="007D6A80"/>
    <w:rsid w:val="008406AA"/>
    <w:rsid w:val="00855EA5"/>
    <w:rsid w:val="0086022B"/>
    <w:rsid w:val="008E6D9D"/>
    <w:rsid w:val="009157A3"/>
    <w:rsid w:val="00930E7C"/>
    <w:rsid w:val="00961927"/>
    <w:rsid w:val="00962A19"/>
    <w:rsid w:val="0098116A"/>
    <w:rsid w:val="009A4655"/>
    <w:rsid w:val="009E6992"/>
    <w:rsid w:val="009F772D"/>
    <w:rsid w:val="00A2251C"/>
    <w:rsid w:val="00A631D2"/>
    <w:rsid w:val="00AB461F"/>
    <w:rsid w:val="00B35357"/>
    <w:rsid w:val="00B53A31"/>
    <w:rsid w:val="00B92621"/>
    <w:rsid w:val="00B9698B"/>
    <w:rsid w:val="00BA5A53"/>
    <w:rsid w:val="00C22FD7"/>
    <w:rsid w:val="00C42175"/>
    <w:rsid w:val="00CC5330"/>
    <w:rsid w:val="00CE6A8F"/>
    <w:rsid w:val="00CF1EB7"/>
    <w:rsid w:val="00D87829"/>
    <w:rsid w:val="00E247F9"/>
    <w:rsid w:val="00E3279C"/>
    <w:rsid w:val="00E6175E"/>
    <w:rsid w:val="00E63466"/>
    <w:rsid w:val="00E9235A"/>
    <w:rsid w:val="00E93B0C"/>
    <w:rsid w:val="00EC2C80"/>
    <w:rsid w:val="00EE1831"/>
    <w:rsid w:val="00EF14BC"/>
    <w:rsid w:val="00F77758"/>
    <w:rsid w:val="00F9503D"/>
    <w:rsid w:val="00FA415B"/>
    <w:rsid w:val="00FD58D5"/>
    <w:rsid w:val="00F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26E3"/>
  <w15:chartTrackingRefBased/>
  <w15:docId w15:val="{578B6486-A5CE-4BD1-913C-33CEE30E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72D"/>
    <w:pPr>
      <w:widowControl w:val="0"/>
      <w:autoSpaceDE w:val="0"/>
      <w:autoSpaceDN w:val="0"/>
      <w:spacing w:after="0" w:line="240" w:lineRule="auto"/>
      <w:ind w:left="12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655"/>
    <w:rPr>
      <w:rFonts w:ascii="Segoe UI" w:hAnsi="Segoe UI" w:cs="Segoe UI"/>
      <w:sz w:val="18"/>
      <w:szCs w:val="18"/>
    </w:rPr>
  </w:style>
  <w:style w:type="character" w:styleId="Hyperlink">
    <w:name w:val="Hyperlink"/>
    <w:basedOn w:val="DefaultParagraphFont"/>
    <w:uiPriority w:val="99"/>
    <w:unhideWhenUsed/>
    <w:rsid w:val="005A2486"/>
    <w:rPr>
      <w:color w:val="0563C1" w:themeColor="hyperlink"/>
      <w:u w:val="single"/>
    </w:rPr>
  </w:style>
  <w:style w:type="character" w:styleId="UnresolvedMention">
    <w:name w:val="Unresolved Mention"/>
    <w:basedOn w:val="DefaultParagraphFont"/>
    <w:uiPriority w:val="99"/>
    <w:semiHidden/>
    <w:unhideWhenUsed/>
    <w:rsid w:val="0086022B"/>
    <w:rPr>
      <w:color w:val="605E5C"/>
      <w:shd w:val="clear" w:color="auto" w:fill="E1DFDD"/>
    </w:rPr>
  </w:style>
  <w:style w:type="character" w:customStyle="1" w:styleId="Heading1Char">
    <w:name w:val="Heading 1 Char"/>
    <w:basedOn w:val="DefaultParagraphFont"/>
    <w:link w:val="Heading1"/>
    <w:uiPriority w:val="9"/>
    <w:rsid w:val="009F772D"/>
    <w:rPr>
      <w:rFonts w:ascii="Calibri" w:eastAsia="Calibri" w:hAnsi="Calibri" w:cs="Calibri"/>
      <w:b/>
      <w:bCs/>
      <w:lang w:bidi="en-US"/>
    </w:rPr>
  </w:style>
  <w:style w:type="paragraph" w:styleId="BodyText">
    <w:name w:val="Body Text"/>
    <w:basedOn w:val="Normal"/>
    <w:link w:val="BodyTextChar"/>
    <w:uiPriority w:val="1"/>
    <w:qFormat/>
    <w:rsid w:val="009F772D"/>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9F772D"/>
    <w:rPr>
      <w:rFonts w:ascii="Calibri" w:eastAsia="Calibri" w:hAnsi="Calibri" w:cs="Calibri"/>
      <w:lang w:bidi="en-US"/>
    </w:rPr>
  </w:style>
  <w:style w:type="paragraph" w:styleId="ListParagraph">
    <w:name w:val="List Paragraph"/>
    <w:basedOn w:val="Normal"/>
    <w:uiPriority w:val="1"/>
    <w:qFormat/>
    <w:rsid w:val="009F772D"/>
    <w:pPr>
      <w:widowControl w:val="0"/>
      <w:autoSpaceDE w:val="0"/>
      <w:autoSpaceDN w:val="0"/>
      <w:spacing w:before="22" w:after="0" w:line="240" w:lineRule="auto"/>
      <w:ind w:left="840" w:hanging="361"/>
    </w:pPr>
    <w:rPr>
      <w:rFonts w:ascii="Calibri" w:eastAsia="Calibri" w:hAnsi="Calibri" w:cs="Calibri"/>
      <w:lang w:bidi="en-US"/>
    </w:rPr>
  </w:style>
  <w:style w:type="paragraph" w:styleId="NormalWeb">
    <w:name w:val="Normal (Web)"/>
    <w:basedOn w:val="Normal"/>
    <w:uiPriority w:val="99"/>
    <w:unhideWhenUsed/>
    <w:rsid w:val="00380C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C9D"/>
    <w:rPr>
      <w:b/>
      <w:bCs/>
    </w:rPr>
  </w:style>
  <w:style w:type="paragraph" w:styleId="Header">
    <w:name w:val="header"/>
    <w:basedOn w:val="Normal"/>
    <w:link w:val="HeaderChar"/>
    <w:uiPriority w:val="99"/>
    <w:unhideWhenUsed/>
    <w:rsid w:val="0038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C9D"/>
  </w:style>
  <w:style w:type="paragraph" w:styleId="Footer">
    <w:name w:val="footer"/>
    <w:basedOn w:val="Normal"/>
    <w:link w:val="FooterChar"/>
    <w:uiPriority w:val="99"/>
    <w:unhideWhenUsed/>
    <w:rsid w:val="0038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50949">
      <w:bodyDiv w:val="1"/>
      <w:marLeft w:val="0"/>
      <w:marRight w:val="0"/>
      <w:marTop w:val="0"/>
      <w:marBottom w:val="0"/>
      <w:divBdr>
        <w:top w:val="none" w:sz="0" w:space="0" w:color="auto"/>
        <w:left w:val="none" w:sz="0" w:space="0" w:color="auto"/>
        <w:bottom w:val="none" w:sz="0" w:space="0" w:color="auto"/>
        <w:right w:val="none" w:sz="0" w:space="0" w:color="auto"/>
      </w:divBdr>
    </w:div>
    <w:div w:id="10487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xUriServ/LexUriServ.do?uri=CELEX:32006R1907:EN:NOT" TargetMode="External"/><Relationship Id="rId13" Type="http://schemas.openxmlformats.org/officeDocument/2006/relationships/hyperlink" Target="mailto:rpinheiro@pem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mpliance@pem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mnet.com/wp-content/uploads/2020/03/corpREACH_March2020.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pliance@pemnet.com" TargetMode="External"/><Relationship Id="rId4" Type="http://schemas.openxmlformats.org/officeDocument/2006/relationships/webSettings" Target="webSettings.xml"/><Relationship Id="rId9" Type="http://schemas.openxmlformats.org/officeDocument/2006/relationships/hyperlink" Target="https://www.pemnet.com/design_info/rohs-directive/rohs-look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Rocky</dc:creator>
  <cp:keywords/>
  <dc:description/>
  <cp:lastModifiedBy>Pinheiro, Rocky</cp:lastModifiedBy>
  <cp:revision>2</cp:revision>
  <cp:lastPrinted>2017-09-19T15:33:00Z</cp:lastPrinted>
  <dcterms:created xsi:type="dcterms:W3CDTF">2025-04-14T21:51:00Z</dcterms:created>
  <dcterms:modified xsi:type="dcterms:W3CDTF">2025-04-14T21:51:00Z</dcterms:modified>
</cp:coreProperties>
</file>